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8027" w14:textId="17F51DC7" w:rsidR="004F2BA3" w:rsidRPr="004F2BA3" w:rsidRDefault="004F2BA3" w:rsidP="004F2BA3">
      <w:pPr>
        <w:shd w:val="clear" w:color="auto" w:fill="FFFFFF"/>
        <w:spacing w:after="360" w:line="360" w:lineRule="atLeast"/>
        <w:jc w:val="center"/>
        <w:rPr>
          <w:rFonts w:ascii="Verdana" w:hAnsi="Verdana" w:cs="Times New Roman"/>
          <w:b/>
          <w:i/>
          <w:color w:val="222222"/>
          <w:sz w:val="32"/>
          <w:lang w:eastAsia="it-IT"/>
        </w:rPr>
      </w:pPr>
      <w:bookmarkStart w:id="0" w:name="_GoBack"/>
      <w:r w:rsidRPr="004F2BA3">
        <w:rPr>
          <w:rFonts w:ascii="Verdana" w:hAnsi="Verdana" w:cs="Times New Roman"/>
          <w:b/>
          <w:i/>
          <w:color w:val="222222"/>
          <w:sz w:val="32"/>
          <w:lang w:eastAsia="it-IT"/>
        </w:rPr>
        <w:t>PEER TUTORING</w:t>
      </w:r>
    </w:p>
    <w:bookmarkEnd w:id="0"/>
    <w:p w14:paraId="49D15BB8" w14:textId="77777777" w:rsidR="00F35215" w:rsidRPr="00F35215" w:rsidRDefault="00F35215" w:rsidP="00F35215">
      <w:pPr>
        <w:shd w:val="clear" w:color="auto" w:fill="FFFFFF"/>
        <w:spacing w:after="360" w:line="360" w:lineRule="atLeast"/>
        <w:rPr>
          <w:rFonts w:ascii="Verdana" w:hAnsi="Verdana" w:cs="Times New Roman"/>
          <w:b/>
          <w:i/>
          <w:color w:val="222222"/>
          <w:lang w:eastAsia="it-IT"/>
        </w:rPr>
      </w:pPr>
      <w:r w:rsidRPr="00F35215">
        <w:rPr>
          <w:rFonts w:ascii="Verdana" w:hAnsi="Verdana" w:cs="Times New Roman"/>
          <w:b/>
          <w:i/>
          <w:color w:val="222222"/>
          <w:lang w:eastAsia="it-IT"/>
        </w:rPr>
        <w:t>Il Peer tutoring può essere considerato una strategia educativa volta ad attivare un passaggio “spontaneo” di conoscenze, esperienze, emozioni da alcuni membri di un gruppo ad altri membri di pari status.</w:t>
      </w:r>
    </w:p>
    <w:p w14:paraId="7FB87AA1" w14:textId="77777777" w:rsidR="00F35215" w:rsidRDefault="00F35215" w:rsidP="00F35215">
      <w:pPr>
        <w:shd w:val="clear" w:color="auto" w:fill="FFFFFF"/>
        <w:spacing w:after="360" w:line="360" w:lineRule="atLeast"/>
        <w:rPr>
          <w:rFonts w:ascii="Verdana" w:hAnsi="Verdana" w:cs="Times New Roman"/>
          <w:color w:val="222222"/>
          <w:sz w:val="21"/>
          <w:szCs w:val="21"/>
          <w:lang w:eastAsia="it-IT"/>
        </w:rPr>
      </w:pPr>
      <w:r>
        <w:rPr>
          <w:rFonts w:ascii="Verdana" w:hAnsi="Verdana" w:cs="Times New Roman"/>
          <w:color w:val="222222"/>
          <w:sz w:val="21"/>
          <w:szCs w:val="21"/>
          <w:lang w:eastAsia="it-IT"/>
        </w:rPr>
        <w:t xml:space="preserve">È una pratica </w:t>
      </w:r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>denominata anche “</w:t>
      </w:r>
      <w:r w:rsidRPr="00F35215">
        <w:rPr>
          <w:rFonts w:ascii="Verdana" w:hAnsi="Verdana" w:cs="Times New Roman"/>
          <w:b/>
          <w:i/>
          <w:color w:val="222222"/>
          <w:sz w:val="21"/>
          <w:szCs w:val="21"/>
          <w:lang w:eastAsia="it-IT"/>
        </w:rPr>
        <w:t>insegnamento tra pari o tutoraggio tra pari</w:t>
      </w:r>
      <w:r>
        <w:rPr>
          <w:rFonts w:ascii="Verdana" w:hAnsi="Verdana" w:cs="Times New Roman"/>
          <w:color w:val="222222"/>
          <w:sz w:val="21"/>
          <w:szCs w:val="21"/>
          <w:lang w:eastAsia="it-IT"/>
        </w:rPr>
        <w:t>”</w:t>
      </w:r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 xml:space="preserve"> </w:t>
      </w:r>
    </w:p>
    <w:p w14:paraId="63457C0E" w14:textId="77777777" w:rsidR="00F35215" w:rsidRPr="00F35215" w:rsidRDefault="00F35215" w:rsidP="00F35215">
      <w:pPr>
        <w:shd w:val="clear" w:color="auto" w:fill="FFFFFF"/>
        <w:spacing w:after="360" w:line="360" w:lineRule="atLeast"/>
        <w:rPr>
          <w:rFonts w:ascii="Verdana" w:hAnsi="Verdana" w:cs="Times New Roman"/>
          <w:color w:val="222222"/>
          <w:sz w:val="21"/>
          <w:szCs w:val="21"/>
          <w:lang w:eastAsia="it-IT"/>
        </w:rPr>
      </w:pPr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>che si basa sull’evidenza, supportata sperimentalmente, che quando c’è un problema le persone preferiscono parlarne con chi sentono più vicino.</w:t>
      </w:r>
    </w:p>
    <w:p w14:paraId="7BB511CE" w14:textId="77777777" w:rsidR="00F35215" w:rsidRPr="00F35215" w:rsidRDefault="00F35215" w:rsidP="00F35215">
      <w:pPr>
        <w:shd w:val="clear" w:color="auto" w:fill="FFFFFF"/>
        <w:spacing w:after="360" w:line="360" w:lineRule="atLeast"/>
        <w:rPr>
          <w:rFonts w:ascii="Verdana" w:hAnsi="Verdana" w:cs="Times New Roman"/>
          <w:color w:val="222222"/>
          <w:sz w:val="21"/>
          <w:szCs w:val="21"/>
          <w:lang w:eastAsia="it-IT"/>
        </w:rPr>
      </w:pPr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 xml:space="preserve">E senza dubbio ha ampio seguito anche nella scuola italiana: numerose sono infatti le sperimentazioni didattiche realizzate, anche grazie al fatto che Comunità Europea e MIUR (Progetto Autonomia, Life </w:t>
      </w:r>
      <w:proofErr w:type="spellStart"/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>Skills</w:t>
      </w:r>
      <w:proofErr w:type="spellEnd"/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 xml:space="preserve"> e Peer </w:t>
      </w:r>
      <w:proofErr w:type="spellStart"/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>Education</w:t>
      </w:r>
      <w:proofErr w:type="spellEnd"/>
      <w:r w:rsidRPr="00F35215">
        <w:rPr>
          <w:rFonts w:ascii="Verdana" w:hAnsi="Verdana" w:cs="Times New Roman"/>
          <w:color w:val="222222"/>
          <w:sz w:val="21"/>
          <w:szCs w:val="21"/>
          <w:lang w:eastAsia="it-IT"/>
        </w:rPr>
        <w:t>) hanno supportato progetti di questo tipo. Esistono due forme di tutoring:</w:t>
      </w:r>
    </w:p>
    <w:p w14:paraId="6C78FB2D" w14:textId="77777777" w:rsidR="00F35215" w:rsidRPr="00F35215" w:rsidRDefault="00F35215" w:rsidP="00F35215">
      <w:pPr>
        <w:numPr>
          <w:ilvl w:val="0"/>
          <w:numId w:val="1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 xml:space="preserve">Cross </w:t>
      </w:r>
      <w:proofErr w:type="spellStart"/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>age</w:t>
      </w:r>
      <w:proofErr w:type="spellEnd"/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 </w:t>
      </w:r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>(diversa età)</w:t>
      </w:r>
    </w:p>
    <w:p w14:paraId="7848EA8D" w14:textId="77777777" w:rsidR="00F35215" w:rsidRP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Studenti delle classi più avanzate</w:t>
      </w:r>
    </w:p>
    <w:p w14:paraId="205B1125" w14:textId="77777777" w:rsidR="00F35215" w:rsidRP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Adulti esperti</w:t>
      </w:r>
    </w:p>
    <w:p w14:paraId="60AD7DE6" w14:textId="77777777" w:rsidR="00F35215" w:rsidRP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Adulti non esperti</w:t>
      </w:r>
    </w:p>
    <w:p w14:paraId="7AC3C900" w14:textId="77777777" w:rsidR="00F35215" w:rsidRP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Anziani</w:t>
      </w:r>
    </w:p>
    <w:p w14:paraId="44030D25" w14:textId="77777777" w:rsidR="00F35215" w:rsidRP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Studenti universitari</w:t>
      </w:r>
    </w:p>
    <w:p w14:paraId="441C1FEE" w14:textId="77777777" w:rsidR="00F35215" w:rsidRDefault="00F35215" w:rsidP="00F35215">
      <w:pPr>
        <w:numPr>
          <w:ilvl w:val="0"/>
          <w:numId w:val="2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Esperti esterni (professori universitari o adulti molto preparati)</w:t>
      </w:r>
    </w:p>
    <w:p w14:paraId="0601BEFD" w14:textId="77777777" w:rsidR="00F35215" w:rsidRPr="00F35215" w:rsidRDefault="00F35215" w:rsidP="00F35215">
      <w:p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</w:p>
    <w:p w14:paraId="0C089501" w14:textId="77777777" w:rsidR="00F35215" w:rsidRPr="00F35215" w:rsidRDefault="00F35215" w:rsidP="00F35215">
      <w:pPr>
        <w:numPr>
          <w:ilvl w:val="0"/>
          <w:numId w:val="3"/>
        </w:numPr>
        <w:shd w:val="clear" w:color="auto" w:fill="FFFFFF"/>
        <w:spacing w:line="360" w:lineRule="atLeast"/>
        <w:ind w:left="1035" w:hanging="360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proofErr w:type="spellStart"/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>Same</w:t>
      </w:r>
      <w:proofErr w:type="spellEnd"/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 xml:space="preserve"> </w:t>
      </w:r>
      <w:proofErr w:type="spellStart"/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>age</w:t>
      </w:r>
      <w:proofErr w:type="spellEnd"/>
      <w:r w:rsidRPr="00F35215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it-IT"/>
        </w:rPr>
        <w:t xml:space="preserve"> (stessa età)</w:t>
      </w: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: tra compagni di classe</w:t>
      </w:r>
    </w:p>
    <w:p w14:paraId="4048F778" w14:textId="77777777" w:rsidR="00F35215" w:rsidRPr="00F35215" w:rsidRDefault="00F35215" w:rsidP="00F35215">
      <w:pPr>
        <w:numPr>
          <w:ilvl w:val="0"/>
          <w:numId w:val="4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Partner </w:t>
      </w:r>
      <w:proofErr w:type="spellStart"/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learning</w:t>
      </w:r>
      <w:proofErr w:type="spellEnd"/>
    </w:p>
    <w:p w14:paraId="4A4A8199" w14:textId="77777777" w:rsidR="00F35215" w:rsidRPr="00F35215" w:rsidRDefault="00F35215" w:rsidP="00F35215">
      <w:pPr>
        <w:numPr>
          <w:ilvl w:val="0"/>
          <w:numId w:val="4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Pause, </w:t>
      </w:r>
      <w:proofErr w:type="spellStart"/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prompt</w:t>
      </w:r>
      <w:proofErr w:type="spellEnd"/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and </w:t>
      </w:r>
      <w:proofErr w:type="spellStart"/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praise</w:t>
      </w:r>
      <w:proofErr w:type="spellEnd"/>
    </w:p>
    <w:p w14:paraId="275A9D9B" w14:textId="77777777" w:rsidR="00F35215" w:rsidRPr="00F35215" w:rsidRDefault="00F35215" w:rsidP="00F35215">
      <w:pPr>
        <w:numPr>
          <w:ilvl w:val="0"/>
          <w:numId w:val="4"/>
        </w:numPr>
        <w:shd w:val="clear" w:color="auto" w:fill="FFFFFF"/>
        <w:spacing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</w:pPr>
      <w:r w:rsidRPr="00F3521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>Co-tutoring o tutoring reciproco</w:t>
      </w:r>
    </w:p>
    <w:p w14:paraId="5A5D00AC" w14:textId="77777777" w:rsidR="00742FDC" w:rsidRDefault="00742FDC"/>
    <w:sectPr w:rsidR="00742FDC" w:rsidSect="000D69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2E95"/>
    <w:multiLevelType w:val="multilevel"/>
    <w:tmpl w:val="6966C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B12C7"/>
    <w:multiLevelType w:val="multilevel"/>
    <w:tmpl w:val="334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E1871"/>
    <w:multiLevelType w:val="multilevel"/>
    <w:tmpl w:val="CB3E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A4A07"/>
    <w:multiLevelType w:val="multilevel"/>
    <w:tmpl w:val="76E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15"/>
    <w:rsid w:val="000D6936"/>
    <w:rsid w:val="002129A7"/>
    <w:rsid w:val="004F2BA3"/>
    <w:rsid w:val="00742FDC"/>
    <w:rsid w:val="00F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D70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521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35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2021-04-11T06:37:00Z</dcterms:created>
  <dcterms:modified xsi:type="dcterms:W3CDTF">2021-04-11T06:39:00Z</dcterms:modified>
</cp:coreProperties>
</file>